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0" w:name="_GoBack"/>
      <w:bookmarkEnd w:id="0"/>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学前儿童发展的观察与评价    </w:t>
      </w:r>
      <w:r>
        <w:rPr>
          <w:b/>
          <w:bCs/>
        </w:rPr>
        <w:t>课程代码：14492（笔试）</w:t>
      </w:r>
      <w:r>
        <w:rPr>
          <w:rFonts w:hint="eastAsia"/>
          <w:b/>
          <w:bCs/>
        </w:rPr>
        <w:t xml:space="preserve">    </w:t>
      </w:r>
      <w:r>
        <w:rPr>
          <w:b/>
          <w:bCs/>
        </w:rPr>
        <w:t>202</w:t>
      </w:r>
      <w:r>
        <w:rPr>
          <w:rFonts w:hint="eastAsia"/>
          <w:b/>
          <w:bCs/>
        </w:rPr>
        <w:t>4</w:t>
      </w:r>
      <w:r>
        <w:rPr>
          <w:b/>
          <w:bCs/>
        </w:rPr>
        <w:t>年9月版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学前儿童发展的观察与评价》是北京市高等教育自学考试学前教育（专升本）专业的一门推荐选设课程，旨在帮助幼儿教师学习如何敏锐地观察幼儿、严谨地分析他们的行为，读懂行为背后的意义，并对幼儿进行适时、适当地指导。本课程既是教育方法学的重要组成，又是实现幼儿教师教育教学技能专业培养目标实践技能的课程。因此，本课程具有理论性和实践性的性质，是实现幼儿教师专业化发展的主要课程。</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优秀学前教育领域人才的相关知识要求，为以后学习本专业相关知识和从事相关工作打下坚实基础。本课程的基本要求是了解儿童行为观察、分析、指导的重要意义，树立正确的儿童观，建立正确的儿童行为观察、分析、指导观念，掌握各种类型儿童行为观察与分析的基本方法，具备观察、分析、评价、指导儿童行为的能力。</w:t>
      </w:r>
    </w:p>
    <w:p>
      <w:pPr>
        <w:spacing w:line="360" w:lineRule="auto"/>
        <w:ind w:firstLine="420" w:firstLineChars="200"/>
      </w:pPr>
      <w:r>
        <w:rPr>
          <w:rFonts w:hint="eastAsia"/>
        </w:rPr>
        <w:t>本课程的考核章节为第一到第六章，重点章节是：第一章，第二章，第三章，第四章。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学前儿童发展的观察与评价》课程在学前教育（专升本）专业的教学计划中被列为推荐选设课程，本课程既是教育方法学的重要组成，又是实现幼儿教师教育教学技能专业培养目标实践技能的课程，是一门专业性、综合性和实践性极强的课程，是一门集“教、学、做”一体化的课程，既强调基本理论和概念，更注重学前教育教学实践技能的培养。本课程是幼儿园课程与教学、幼儿游戏理论与指导、学前儿童家庭与社区教育等课程的先导课，本课程的学习对全面掌握学前儿童教育领域相关知识起到重要的桥梁作用。</w:t>
      </w:r>
    </w:p>
    <w:p>
      <w:pPr>
        <w:spacing w:line="360" w:lineRule="auto"/>
        <w:ind w:firstLine="420" w:firstLineChars="200"/>
        <w:rPr>
          <w:rFonts w:ascii="宋体" w:hAnsi="宋体"/>
          <w:color w:val="FF0000"/>
        </w:rPr>
      </w:pPr>
    </w:p>
    <w:p>
      <w:pPr>
        <w:ind w:firstLine="420"/>
        <w:jc w:val="center"/>
        <w:rPr>
          <w:b/>
          <w:bCs/>
          <w:sz w:val="28"/>
          <w:szCs w:val="28"/>
        </w:rPr>
        <w:sectPr>
          <w:pgSz w:w="11906" w:h="16838"/>
          <w:pgMar w:top="1644" w:right="1531" w:bottom="1304" w:left="1531" w:header="851" w:footer="992" w:gutter="0"/>
          <w:cols w:space="720" w:num="1"/>
          <w:docGrid w:type="lines" w:linePitch="312" w:charSpace="0"/>
        </w:sect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学前儿童行为观察与指导概述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通过本章的学习，理解儿童行为观察的基本理念、掌握儿童行为观察常用的基本方法。</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学前儿童行为观察的基础理论</w:t>
      </w:r>
    </w:p>
    <w:p>
      <w:pPr>
        <w:spacing w:line="360" w:lineRule="auto"/>
        <w:ind w:firstLine="630" w:firstLineChars="300"/>
        <w:rPr>
          <w:bCs/>
        </w:rPr>
      </w:pPr>
      <w:r>
        <w:rPr>
          <w:rFonts w:hint="eastAsia"/>
          <w:bCs/>
        </w:rPr>
        <w:t>识记：学前儿童行为观察的概念。</w:t>
      </w:r>
    </w:p>
    <w:p>
      <w:pPr>
        <w:spacing w:line="360" w:lineRule="auto"/>
        <w:ind w:firstLine="630" w:firstLineChars="300"/>
        <w:rPr>
          <w:bCs/>
        </w:rPr>
      </w:pPr>
      <w:r>
        <w:rPr>
          <w:rFonts w:hint="eastAsia"/>
          <w:bCs/>
        </w:rPr>
        <w:t>理解：学前儿童行为观察的特点、种类、目标。</w:t>
      </w:r>
    </w:p>
    <w:p>
      <w:pPr>
        <w:spacing w:line="360" w:lineRule="auto"/>
        <w:ind w:firstLine="210" w:firstLineChars="100"/>
      </w:pPr>
      <w:r>
        <w:rPr>
          <w:rFonts w:hint="eastAsia"/>
        </w:rPr>
        <w:t>（二）学前儿童行为观察的准备</w:t>
      </w:r>
    </w:p>
    <w:p>
      <w:pPr>
        <w:spacing w:line="360" w:lineRule="auto"/>
        <w:ind w:firstLine="630" w:firstLineChars="300"/>
        <w:rPr>
          <w:bCs/>
        </w:rPr>
      </w:pPr>
      <w:r>
        <w:rPr>
          <w:rFonts w:hint="eastAsia"/>
          <w:bCs/>
        </w:rPr>
        <w:t>理解：学前儿童行为观察的理论准备、技术准备、心理准备、物质准备。</w:t>
      </w:r>
    </w:p>
    <w:p>
      <w:pPr>
        <w:spacing w:line="360" w:lineRule="auto"/>
        <w:ind w:firstLine="210" w:firstLineChars="100"/>
      </w:pPr>
      <w:r>
        <w:rPr>
          <w:rFonts w:hint="eastAsia"/>
        </w:rPr>
        <w:t>（三）学前儿童行为观察</w:t>
      </w:r>
      <w:r>
        <w:rPr>
          <w:rFonts w:hint="eastAsia"/>
          <w:lang w:eastAsia="zh-CN"/>
        </w:rPr>
        <w:t>与记录</w:t>
      </w:r>
      <w:r>
        <w:rPr>
          <w:rFonts w:hint="eastAsia"/>
        </w:rPr>
        <w:t>的方法</w:t>
      </w:r>
    </w:p>
    <w:p>
      <w:pPr>
        <w:spacing w:line="360" w:lineRule="auto"/>
        <w:ind w:firstLine="630" w:firstLineChars="300"/>
        <w:rPr>
          <w:bCs/>
        </w:rPr>
      </w:pPr>
      <w:r>
        <w:rPr>
          <w:rFonts w:hint="eastAsia"/>
          <w:bCs/>
        </w:rPr>
        <w:t>应用：描述法、图表法、取样法、评价法。</w:t>
      </w:r>
    </w:p>
    <w:p>
      <w:pPr>
        <w:spacing w:line="360" w:lineRule="auto"/>
        <w:ind w:firstLine="210" w:firstLineChars="100"/>
      </w:pPr>
      <w:r>
        <w:rPr>
          <w:rFonts w:hint="eastAsia"/>
        </w:rPr>
        <w:t>（四）学前儿童行为观察与学前儿童行为指导</w:t>
      </w:r>
    </w:p>
    <w:p>
      <w:pPr>
        <w:spacing w:line="360" w:lineRule="auto"/>
        <w:ind w:firstLine="630" w:firstLineChars="300"/>
        <w:rPr>
          <w:bCs/>
        </w:rPr>
      </w:pPr>
      <w:r>
        <w:rPr>
          <w:rFonts w:hint="eastAsia"/>
          <w:bCs/>
        </w:rPr>
        <w:t>识记：儿童行为观察对幼儿教师的意义。</w:t>
      </w:r>
    </w:p>
    <w:p>
      <w:pPr>
        <w:spacing w:line="360" w:lineRule="auto"/>
        <w:ind w:firstLine="630" w:firstLineChars="300"/>
        <w:rPr>
          <w:bCs/>
        </w:rPr>
      </w:pPr>
      <w:r>
        <w:rPr>
          <w:rFonts w:hint="eastAsia"/>
          <w:bCs/>
        </w:rPr>
        <w:t>理解：学前儿童行为指导的原则和方法。</w:t>
      </w:r>
    </w:p>
    <w:p>
      <w:pPr>
        <w:spacing w:line="360" w:lineRule="auto"/>
        <w:ind w:firstLine="630" w:firstLineChars="300"/>
        <w:rPr>
          <w:bCs/>
        </w:rPr>
      </w:pPr>
    </w:p>
    <w:p>
      <w:pPr>
        <w:spacing w:line="360" w:lineRule="auto"/>
        <w:jc w:val="center"/>
        <w:rPr>
          <w:b/>
          <w:bCs/>
        </w:rPr>
      </w:pPr>
      <w:r>
        <w:rPr>
          <w:rFonts w:hint="eastAsia"/>
          <w:b/>
          <w:bCs/>
        </w:rPr>
        <w:t>第二章  学前儿童生活活动的观察与指导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通过本章的学习，掌握包括进餐、盥洗、午睡等常规活动的观察要点，并能够给予有效指导。</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学前儿童生活活动观察与指导概述</w:t>
      </w:r>
    </w:p>
    <w:p>
      <w:pPr>
        <w:spacing w:line="360" w:lineRule="auto"/>
        <w:ind w:firstLine="630" w:firstLineChars="300"/>
        <w:rPr>
          <w:bCs/>
        </w:rPr>
      </w:pPr>
      <w:r>
        <w:rPr>
          <w:rFonts w:hint="eastAsia"/>
          <w:bCs/>
        </w:rPr>
        <w:t>理解：学前儿童生活活动的观察要点。</w:t>
      </w:r>
    </w:p>
    <w:p>
      <w:pPr>
        <w:spacing w:line="360" w:lineRule="auto"/>
        <w:ind w:firstLine="630" w:firstLineChars="300"/>
        <w:rPr>
          <w:bCs/>
        </w:rPr>
      </w:pPr>
      <w:r>
        <w:rPr>
          <w:rFonts w:hint="eastAsia"/>
          <w:bCs/>
        </w:rPr>
        <w:t>应用：学前儿童生活活动的解释分析、指导策略。</w:t>
      </w:r>
    </w:p>
    <w:p>
      <w:pPr>
        <w:spacing w:line="360" w:lineRule="auto"/>
        <w:ind w:firstLine="210" w:firstLineChars="100"/>
      </w:pPr>
      <w:r>
        <w:rPr>
          <w:rFonts w:hint="eastAsia"/>
        </w:rPr>
        <w:t>（二）学前儿童进餐活动的观察与指导</w:t>
      </w:r>
    </w:p>
    <w:p>
      <w:pPr>
        <w:spacing w:line="360" w:lineRule="auto"/>
        <w:ind w:firstLine="630" w:firstLineChars="300"/>
        <w:rPr>
          <w:bCs/>
        </w:rPr>
      </w:pPr>
      <w:r>
        <w:rPr>
          <w:rFonts w:hint="eastAsia"/>
          <w:bCs/>
        </w:rPr>
        <w:t>理解：学前儿童进餐活动的观察要点。</w:t>
      </w:r>
    </w:p>
    <w:p>
      <w:pPr>
        <w:spacing w:line="360" w:lineRule="auto"/>
        <w:ind w:firstLine="630" w:firstLineChars="300"/>
        <w:rPr>
          <w:bCs/>
        </w:rPr>
      </w:pPr>
      <w:r>
        <w:rPr>
          <w:rFonts w:hint="eastAsia"/>
          <w:bCs/>
        </w:rPr>
        <w:t>应用：学前儿童进餐活动的解释分析、指导策略。</w:t>
      </w:r>
    </w:p>
    <w:p>
      <w:pPr>
        <w:spacing w:line="360" w:lineRule="auto"/>
        <w:ind w:firstLine="210" w:firstLineChars="100"/>
      </w:pPr>
      <w:r>
        <w:rPr>
          <w:rFonts w:hint="eastAsia"/>
        </w:rPr>
        <w:t>（三）学前儿童盥洗活动的观察与指导</w:t>
      </w:r>
    </w:p>
    <w:p>
      <w:pPr>
        <w:spacing w:line="360" w:lineRule="auto"/>
        <w:ind w:firstLine="630" w:firstLineChars="300"/>
        <w:rPr>
          <w:bCs/>
        </w:rPr>
      </w:pPr>
      <w:r>
        <w:rPr>
          <w:rFonts w:hint="eastAsia"/>
          <w:bCs/>
        </w:rPr>
        <w:t>理解：学前儿童盥洗活动的观察要点。</w:t>
      </w:r>
    </w:p>
    <w:p>
      <w:pPr>
        <w:spacing w:line="360" w:lineRule="auto"/>
        <w:ind w:firstLine="630" w:firstLineChars="300"/>
        <w:rPr>
          <w:bCs/>
        </w:rPr>
      </w:pPr>
      <w:r>
        <w:rPr>
          <w:rFonts w:hint="eastAsia"/>
          <w:bCs/>
        </w:rPr>
        <w:t>应用：学前儿童盥洗活动的解释分析、指导策略。</w:t>
      </w:r>
    </w:p>
    <w:p>
      <w:pPr>
        <w:spacing w:line="360" w:lineRule="auto"/>
        <w:ind w:firstLine="210" w:firstLineChars="100"/>
      </w:pPr>
      <w:r>
        <w:rPr>
          <w:rFonts w:hint="eastAsia"/>
        </w:rPr>
        <w:t>（四）学前儿童睡眠活动的观察与指导</w:t>
      </w:r>
    </w:p>
    <w:p>
      <w:pPr>
        <w:spacing w:line="360" w:lineRule="auto"/>
        <w:ind w:firstLine="630" w:firstLineChars="300"/>
        <w:rPr>
          <w:bCs/>
        </w:rPr>
      </w:pPr>
      <w:r>
        <w:rPr>
          <w:rFonts w:hint="eastAsia"/>
          <w:bCs/>
        </w:rPr>
        <w:t>理解：学前儿童睡眠活动的观察要点。</w:t>
      </w:r>
    </w:p>
    <w:p>
      <w:pPr>
        <w:spacing w:line="360" w:lineRule="auto"/>
        <w:ind w:firstLine="630" w:firstLineChars="300"/>
        <w:rPr>
          <w:bCs/>
        </w:rPr>
      </w:pPr>
      <w:r>
        <w:rPr>
          <w:rFonts w:hint="eastAsia"/>
          <w:bCs/>
        </w:rPr>
        <w:t>应用：学前儿童睡眠活动的解释分析、指导策略。</w:t>
      </w:r>
    </w:p>
    <w:p>
      <w:pPr>
        <w:spacing w:line="360" w:lineRule="auto"/>
        <w:jc w:val="center"/>
        <w:rPr>
          <w:b/>
          <w:bCs/>
        </w:rPr>
      </w:pPr>
    </w:p>
    <w:p>
      <w:pPr>
        <w:spacing w:line="360" w:lineRule="auto"/>
        <w:jc w:val="center"/>
        <w:rPr>
          <w:b/>
          <w:bCs/>
        </w:rPr>
      </w:pPr>
      <w:r>
        <w:rPr>
          <w:rFonts w:hint="eastAsia"/>
          <w:b/>
          <w:bCs/>
        </w:rPr>
        <w:t>第三章  学前儿童游戏活动的观察与指导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通过本章的学习，掌握各类游戏的观察要点，并能够给予有效指导。</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学前儿童游戏活动观察与指导概述</w:t>
      </w:r>
    </w:p>
    <w:p>
      <w:pPr>
        <w:spacing w:line="360" w:lineRule="auto"/>
        <w:ind w:firstLine="630" w:firstLineChars="300"/>
        <w:rPr>
          <w:bCs/>
        </w:rPr>
      </w:pPr>
      <w:r>
        <w:rPr>
          <w:rFonts w:hint="eastAsia"/>
          <w:bCs/>
        </w:rPr>
        <w:t>识记：学前儿童游戏活动的主要类型。</w:t>
      </w:r>
    </w:p>
    <w:p>
      <w:pPr>
        <w:spacing w:line="360" w:lineRule="auto"/>
        <w:ind w:firstLine="630" w:firstLineChars="300"/>
        <w:rPr>
          <w:bCs/>
        </w:rPr>
      </w:pPr>
      <w:r>
        <w:rPr>
          <w:rFonts w:hint="eastAsia"/>
          <w:bCs/>
        </w:rPr>
        <w:t>理解：学前儿童游戏活动的观察要点。</w:t>
      </w:r>
    </w:p>
    <w:p>
      <w:pPr>
        <w:spacing w:line="360" w:lineRule="auto"/>
        <w:ind w:firstLine="630" w:firstLineChars="300"/>
        <w:rPr>
          <w:bCs/>
        </w:rPr>
      </w:pPr>
      <w:r>
        <w:rPr>
          <w:rFonts w:hint="eastAsia"/>
          <w:bCs/>
        </w:rPr>
        <w:t>应用：学前儿童游戏活动的解释分析、指导策略。</w:t>
      </w:r>
    </w:p>
    <w:p>
      <w:pPr>
        <w:spacing w:line="360" w:lineRule="auto"/>
        <w:ind w:firstLine="210" w:firstLineChars="100"/>
      </w:pPr>
      <w:r>
        <w:rPr>
          <w:rFonts w:hint="eastAsia"/>
        </w:rPr>
        <w:t>（二）学前儿童创造性游戏活动的观察与指导</w:t>
      </w:r>
    </w:p>
    <w:p>
      <w:pPr>
        <w:spacing w:line="360" w:lineRule="auto"/>
        <w:ind w:firstLine="630" w:firstLineChars="300"/>
        <w:rPr>
          <w:bCs/>
        </w:rPr>
      </w:pPr>
      <w:r>
        <w:rPr>
          <w:rFonts w:hint="eastAsia"/>
          <w:bCs/>
        </w:rPr>
        <w:t>理解：学前儿童结构游戏、角色游戏、表演游戏的观察要点。</w:t>
      </w:r>
    </w:p>
    <w:p>
      <w:pPr>
        <w:spacing w:line="360" w:lineRule="auto"/>
        <w:ind w:firstLine="630" w:firstLineChars="300"/>
        <w:rPr>
          <w:bCs/>
        </w:rPr>
      </w:pPr>
      <w:r>
        <w:rPr>
          <w:rFonts w:hint="eastAsia"/>
          <w:bCs/>
        </w:rPr>
        <w:t>应用：学前儿童结构游戏、角色游戏、表演游戏的指导策略。</w:t>
      </w:r>
    </w:p>
    <w:p>
      <w:pPr>
        <w:spacing w:line="360" w:lineRule="auto"/>
        <w:ind w:firstLine="210" w:firstLineChars="100"/>
      </w:pPr>
      <w:r>
        <w:rPr>
          <w:rFonts w:hint="eastAsia"/>
        </w:rPr>
        <w:t>（三）学前儿童规则性游戏活动的观察与指导</w:t>
      </w:r>
    </w:p>
    <w:p>
      <w:pPr>
        <w:spacing w:line="360" w:lineRule="auto"/>
        <w:ind w:firstLine="630" w:firstLineChars="300"/>
        <w:rPr>
          <w:bCs/>
        </w:rPr>
      </w:pPr>
      <w:r>
        <w:rPr>
          <w:rFonts w:hint="eastAsia"/>
          <w:bCs/>
        </w:rPr>
        <w:t>理解：学前儿童智力游戏、体育游戏、音乐游戏的观察要点。</w:t>
      </w:r>
    </w:p>
    <w:p>
      <w:pPr>
        <w:spacing w:line="360" w:lineRule="auto"/>
        <w:ind w:firstLine="630" w:firstLineChars="300"/>
        <w:rPr>
          <w:bCs/>
        </w:rPr>
      </w:pPr>
      <w:r>
        <w:rPr>
          <w:rFonts w:hint="eastAsia"/>
          <w:bCs/>
        </w:rPr>
        <w:t>应用：学前儿童智力游戏、体育游戏、音乐游戏的指导策略。</w:t>
      </w:r>
    </w:p>
    <w:p>
      <w:pPr>
        <w:spacing w:line="360" w:lineRule="auto"/>
        <w:ind w:firstLine="210" w:firstLineChars="100"/>
      </w:pPr>
      <w:r>
        <w:rPr>
          <w:rFonts w:hint="eastAsia"/>
        </w:rPr>
        <w:t>（四）学前儿童区域游戏活动的观察与指导</w:t>
      </w:r>
    </w:p>
    <w:p>
      <w:pPr>
        <w:spacing w:line="360" w:lineRule="auto"/>
        <w:ind w:firstLine="630" w:firstLineChars="300"/>
        <w:rPr>
          <w:bCs/>
        </w:rPr>
      </w:pPr>
      <w:r>
        <w:rPr>
          <w:rFonts w:hint="eastAsia"/>
          <w:bCs/>
        </w:rPr>
        <w:t>理解：区域游戏过渡阶段、自主阶段的观察要点。</w:t>
      </w:r>
    </w:p>
    <w:p>
      <w:pPr>
        <w:spacing w:line="360" w:lineRule="auto"/>
        <w:ind w:firstLine="630" w:firstLineChars="300"/>
        <w:rPr>
          <w:bCs/>
        </w:rPr>
      </w:pPr>
      <w:r>
        <w:rPr>
          <w:rFonts w:hint="eastAsia"/>
          <w:bCs/>
        </w:rPr>
        <w:t>应用：区域游戏过渡阶段、自主阶段的指导策略。</w:t>
      </w:r>
    </w:p>
    <w:p>
      <w:pPr>
        <w:spacing w:line="360" w:lineRule="auto"/>
        <w:jc w:val="center"/>
        <w:rPr>
          <w:b/>
          <w:bCs/>
        </w:rPr>
      </w:pPr>
    </w:p>
    <w:p>
      <w:pPr>
        <w:spacing w:line="360" w:lineRule="auto"/>
        <w:jc w:val="center"/>
        <w:rPr>
          <w:b/>
          <w:bCs/>
        </w:rPr>
      </w:pPr>
      <w:r>
        <w:rPr>
          <w:rFonts w:hint="eastAsia"/>
          <w:b/>
          <w:bCs/>
        </w:rPr>
        <w:t>第四章  幼儿园教学活动的观察与指导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通过本章的学习，掌握教学准备阶段和教学活动过程中的观察要点，并能够给予有效指导。</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幼儿园教学活动观察与指导概述</w:t>
      </w:r>
    </w:p>
    <w:p>
      <w:pPr>
        <w:spacing w:line="360" w:lineRule="auto"/>
        <w:ind w:firstLine="630" w:firstLineChars="300"/>
        <w:rPr>
          <w:bCs/>
        </w:rPr>
      </w:pPr>
      <w:r>
        <w:rPr>
          <w:rFonts w:hint="eastAsia"/>
          <w:bCs/>
        </w:rPr>
        <w:t>识记：幼儿园教学活动的特点。</w:t>
      </w:r>
    </w:p>
    <w:p>
      <w:pPr>
        <w:spacing w:line="360" w:lineRule="auto"/>
        <w:ind w:firstLine="630" w:firstLineChars="300"/>
        <w:rPr>
          <w:bCs/>
        </w:rPr>
      </w:pPr>
      <w:r>
        <w:rPr>
          <w:rFonts w:hint="eastAsia"/>
          <w:bCs/>
        </w:rPr>
        <w:t>理解：教学活动的观察要点。</w:t>
      </w:r>
    </w:p>
    <w:p>
      <w:pPr>
        <w:spacing w:line="360" w:lineRule="auto"/>
        <w:ind w:firstLine="630" w:firstLineChars="300"/>
        <w:rPr>
          <w:bCs/>
        </w:rPr>
      </w:pPr>
      <w:r>
        <w:rPr>
          <w:rFonts w:hint="eastAsia"/>
          <w:bCs/>
        </w:rPr>
        <w:t>应用：教学活动的解释分析、指导策略。</w:t>
      </w:r>
    </w:p>
    <w:p>
      <w:pPr>
        <w:spacing w:line="360" w:lineRule="auto"/>
        <w:ind w:firstLine="210" w:firstLineChars="100"/>
      </w:pPr>
      <w:r>
        <w:rPr>
          <w:rFonts w:hint="eastAsia"/>
        </w:rPr>
        <w:t>（二）幼儿教师的观察与教学准备工作</w:t>
      </w:r>
    </w:p>
    <w:p>
      <w:pPr>
        <w:spacing w:line="360" w:lineRule="auto"/>
        <w:ind w:firstLine="630" w:firstLineChars="300"/>
        <w:rPr>
          <w:bCs/>
        </w:rPr>
      </w:pPr>
      <w:r>
        <w:rPr>
          <w:rFonts w:hint="eastAsia"/>
          <w:bCs/>
        </w:rPr>
        <w:t>应用：教学活动目标的制定、内容的选择、组织形式的选择、材料的准备。</w:t>
      </w:r>
    </w:p>
    <w:p>
      <w:pPr>
        <w:spacing w:line="360" w:lineRule="auto"/>
        <w:ind w:firstLine="210" w:firstLineChars="100"/>
        <w:rPr>
          <w:bCs/>
        </w:rPr>
      </w:pPr>
      <w:r>
        <w:rPr>
          <w:rFonts w:hint="eastAsia"/>
        </w:rPr>
        <w:t>（三）幼儿园教学活动过程的观察与指导</w:t>
      </w:r>
    </w:p>
    <w:p>
      <w:pPr>
        <w:spacing w:line="360" w:lineRule="auto"/>
        <w:ind w:firstLine="630" w:firstLineChars="300"/>
      </w:pPr>
      <w:r>
        <w:rPr>
          <w:rFonts w:hint="eastAsia"/>
          <w:bCs/>
        </w:rPr>
        <w:t>理解：教学活动过程的观察要点。</w:t>
      </w:r>
    </w:p>
    <w:p>
      <w:pPr>
        <w:spacing w:line="360" w:lineRule="auto"/>
        <w:jc w:val="center"/>
        <w:rPr>
          <w:b/>
          <w:bCs/>
        </w:rPr>
      </w:pPr>
    </w:p>
    <w:p>
      <w:pPr>
        <w:spacing w:line="360" w:lineRule="auto"/>
        <w:jc w:val="center"/>
        <w:rPr>
          <w:b/>
          <w:bCs/>
        </w:rPr>
      </w:pPr>
      <w:r>
        <w:rPr>
          <w:rFonts w:hint="eastAsia"/>
          <w:b/>
          <w:bCs/>
        </w:rPr>
        <w:t>第五章  其他形式活动的观察与指导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通过本章的学习，掌握户外活动、节日活动、以及亲子活动的观察要点，并能够给予有效指导。</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户外活动的观察与指导</w:t>
      </w:r>
    </w:p>
    <w:p>
      <w:pPr>
        <w:spacing w:line="360" w:lineRule="auto"/>
        <w:ind w:firstLine="630" w:firstLineChars="300"/>
        <w:rPr>
          <w:bCs/>
        </w:rPr>
      </w:pPr>
      <w:r>
        <w:rPr>
          <w:rFonts w:hint="eastAsia"/>
          <w:bCs/>
        </w:rPr>
        <w:t>理解：学前儿童户外活动的观察要点。</w:t>
      </w:r>
    </w:p>
    <w:p>
      <w:pPr>
        <w:spacing w:line="360" w:lineRule="auto"/>
        <w:ind w:firstLine="630" w:firstLineChars="300"/>
        <w:rPr>
          <w:bCs/>
        </w:rPr>
      </w:pPr>
      <w:r>
        <w:rPr>
          <w:rFonts w:hint="eastAsia"/>
          <w:bCs/>
        </w:rPr>
        <w:t>应用：学前儿童户外活动的解释分析、指导策略。</w:t>
      </w:r>
    </w:p>
    <w:p>
      <w:pPr>
        <w:spacing w:line="360" w:lineRule="auto"/>
        <w:ind w:firstLine="210" w:firstLineChars="100"/>
      </w:pPr>
      <w:r>
        <w:rPr>
          <w:rFonts w:hint="eastAsia"/>
        </w:rPr>
        <w:t>（二）节日活动的观察与指导</w:t>
      </w:r>
    </w:p>
    <w:p>
      <w:pPr>
        <w:spacing w:line="360" w:lineRule="auto"/>
        <w:ind w:firstLine="630" w:firstLineChars="300"/>
        <w:rPr>
          <w:bCs/>
        </w:rPr>
      </w:pPr>
      <w:r>
        <w:rPr>
          <w:rFonts w:hint="eastAsia"/>
          <w:bCs/>
        </w:rPr>
        <w:t>理解：学前儿童节日活动的观察要点。</w:t>
      </w:r>
    </w:p>
    <w:p>
      <w:pPr>
        <w:spacing w:line="360" w:lineRule="auto"/>
        <w:ind w:firstLine="630" w:firstLineChars="300"/>
        <w:rPr>
          <w:bCs/>
        </w:rPr>
      </w:pPr>
      <w:r>
        <w:rPr>
          <w:rFonts w:hint="eastAsia"/>
          <w:bCs/>
        </w:rPr>
        <w:t>应用：学前儿童节日活动的解释分析、指导策略。</w:t>
      </w:r>
    </w:p>
    <w:p>
      <w:pPr>
        <w:spacing w:line="360" w:lineRule="auto"/>
        <w:ind w:firstLine="210" w:firstLineChars="100"/>
        <w:rPr>
          <w:bCs/>
        </w:rPr>
      </w:pPr>
      <w:r>
        <w:rPr>
          <w:rFonts w:hint="eastAsia"/>
        </w:rPr>
        <w:t>（三）亲子活动的观察与指导</w:t>
      </w:r>
    </w:p>
    <w:p>
      <w:pPr>
        <w:spacing w:line="360" w:lineRule="auto"/>
        <w:ind w:firstLine="630" w:firstLineChars="300"/>
        <w:rPr>
          <w:bCs/>
        </w:rPr>
      </w:pPr>
      <w:r>
        <w:rPr>
          <w:rFonts w:hint="eastAsia"/>
          <w:bCs/>
        </w:rPr>
        <w:t>理解：学前儿童亲子活动的观察要点。</w:t>
      </w:r>
    </w:p>
    <w:p>
      <w:pPr>
        <w:spacing w:line="360" w:lineRule="auto"/>
        <w:ind w:firstLine="630" w:firstLineChars="300"/>
        <w:rPr>
          <w:bCs/>
        </w:rPr>
      </w:pPr>
      <w:r>
        <w:rPr>
          <w:rFonts w:hint="eastAsia"/>
          <w:bCs/>
        </w:rPr>
        <w:t>应用：学前儿童亲子活动的解释分析、指导策略。</w:t>
      </w:r>
    </w:p>
    <w:p>
      <w:pPr>
        <w:ind w:firstLine="420"/>
        <w:jc w:val="center"/>
        <w:rPr>
          <w:b/>
          <w:bCs/>
          <w:sz w:val="28"/>
          <w:szCs w:val="28"/>
        </w:rPr>
      </w:pPr>
    </w:p>
    <w:p>
      <w:pPr>
        <w:spacing w:line="360" w:lineRule="auto"/>
        <w:jc w:val="center"/>
        <w:rPr>
          <w:b/>
          <w:bCs/>
        </w:rPr>
      </w:pPr>
      <w:r>
        <w:rPr>
          <w:rFonts w:hint="eastAsia"/>
          <w:b/>
          <w:bCs/>
        </w:rPr>
        <w:t xml:space="preserve">第六章  </w:t>
      </w:r>
      <w:r>
        <w:rPr>
          <w:b/>
          <w:bCs/>
        </w:rPr>
        <w:t>幼儿教师行为观察的策略及指导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通过本章的学习，掌握如何提升教师观察、记录、分析幼儿行为的技能及策略。</w:t>
      </w:r>
    </w:p>
    <w:p>
      <w:pPr>
        <w:spacing w:line="360" w:lineRule="auto"/>
        <w:rPr>
          <w:b/>
          <w:bCs/>
        </w:rPr>
      </w:pPr>
      <w:r>
        <w:rPr>
          <w:rFonts w:hint="eastAsia"/>
          <w:b/>
          <w:bCs/>
        </w:rPr>
        <w:t>二、考核知识点与考核目标</w:t>
      </w:r>
    </w:p>
    <w:p>
      <w:pPr>
        <w:spacing w:line="360" w:lineRule="auto"/>
        <w:ind w:firstLine="210" w:firstLineChars="100"/>
        <w:rPr>
          <w:rFonts w:hint="default" w:eastAsia="宋体"/>
          <w:lang w:val="en-US" w:eastAsia="zh-CN"/>
        </w:rPr>
      </w:pPr>
      <w:r>
        <w:rPr>
          <w:rFonts w:hint="eastAsia"/>
        </w:rPr>
        <w:t>（一） 幼儿教师</w:t>
      </w:r>
      <w:r>
        <w:rPr>
          <w:rFonts w:hint="eastAsia"/>
          <w:lang w:val="en-US" w:eastAsia="zh-CN"/>
        </w:rPr>
        <w:t>行为</w:t>
      </w:r>
      <w:r>
        <w:rPr>
          <w:rFonts w:hint="eastAsia"/>
        </w:rPr>
        <w:t>观察</w:t>
      </w:r>
      <w:r>
        <w:rPr>
          <w:rFonts w:hint="eastAsia"/>
          <w:lang w:val="en-US" w:eastAsia="zh-CN"/>
        </w:rPr>
        <w:t>的策略</w:t>
      </w:r>
    </w:p>
    <w:p>
      <w:pPr>
        <w:spacing w:line="360" w:lineRule="auto"/>
        <w:ind w:firstLine="630" w:firstLineChars="300"/>
        <w:rPr>
          <w:bCs/>
        </w:rPr>
      </w:pPr>
      <w:r>
        <w:rPr>
          <w:rFonts w:hint="eastAsia"/>
          <w:bCs/>
        </w:rPr>
        <w:t>理解：</w:t>
      </w:r>
      <w:r>
        <w:rPr>
          <w:bCs/>
        </w:rPr>
        <w:t>教师在观察记录中易出现的问题</w:t>
      </w:r>
      <w:r>
        <w:rPr>
          <w:rFonts w:hint="eastAsia"/>
          <w:bCs/>
        </w:rPr>
        <w:t>。</w:t>
      </w:r>
    </w:p>
    <w:p>
      <w:pPr>
        <w:spacing w:line="360" w:lineRule="auto"/>
        <w:ind w:firstLine="210" w:firstLineChars="100"/>
        <w:rPr>
          <w:bCs/>
        </w:rPr>
      </w:pPr>
      <w:r>
        <w:rPr>
          <w:rFonts w:hint="eastAsia"/>
          <w:lang w:val="en-US" w:eastAsia="zh-CN"/>
        </w:rPr>
        <w:t xml:space="preserve">    </w:t>
      </w:r>
      <w:r>
        <w:rPr>
          <w:rFonts w:hint="eastAsia"/>
          <w:bCs/>
          <w:lang w:val="en-US" w:eastAsia="zh-CN"/>
        </w:rPr>
        <w:t xml:space="preserve">      </w:t>
      </w:r>
      <w:r>
        <w:rPr>
          <w:rFonts w:hint="eastAsia"/>
          <w:bCs/>
        </w:rPr>
        <w:t>师幼关系的内涵。</w:t>
      </w:r>
    </w:p>
    <w:p>
      <w:pPr>
        <w:spacing w:line="360" w:lineRule="auto"/>
        <w:ind w:firstLine="630" w:firstLineChars="300"/>
        <w:rPr>
          <w:bCs/>
        </w:rPr>
      </w:pPr>
      <w:r>
        <w:rPr>
          <w:rFonts w:hint="eastAsia"/>
          <w:bCs/>
        </w:rPr>
        <w:t>应用：</w:t>
      </w:r>
      <w:r>
        <w:rPr>
          <w:bCs/>
        </w:rPr>
        <w:t>提高</w:t>
      </w:r>
      <w:r>
        <w:rPr>
          <w:rFonts w:hint="eastAsia"/>
          <w:bCs/>
          <w:lang w:val="en-US" w:eastAsia="zh-CN"/>
        </w:rPr>
        <w:t>幼儿</w:t>
      </w:r>
      <w:r>
        <w:rPr>
          <w:bCs/>
        </w:rPr>
        <w:t>教师观察</w:t>
      </w:r>
      <w:r>
        <w:rPr>
          <w:rFonts w:hint="eastAsia"/>
          <w:bCs/>
          <w:lang w:val="en-US" w:eastAsia="zh-CN"/>
        </w:rPr>
        <w:t>分析</w:t>
      </w:r>
      <w:r>
        <w:rPr>
          <w:bCs/>
        </w:rPr>
        <w:t>能力的策略</w:t>
      </w:r>
      <w:r>
        <w:rPr>
          <w:rFonts w:hint="eastAsia"/>
          <w:bCs/>
        </w:rPr>
        <w:t>。</w:t>
      </w:r>
    </w:p>
    <w:p>
      <w:pPr>
        <w:spacing w:line="360" w:lineRule="auto"/>
        <w:ind w:firstLine="630" w:firstLineChars="300"/>
        <w:rPr>
          <w:bCs/>
        </w:rPr>
      </w:pPr>
      <w:r>
        <w:rPr>
          <w:rFonts w:hint="eastAsia"/>
          <w:bCs/>
          <w:lang w:val="en-US" w:eastAsia="zh-CN"/>
        </w:rPr>
        <w:t xml:space="preserve">   </w:t>
      </w:r>
      <w:r>
        <w:rPr>
          <w:rFonts w:hint="eastAsia"/>
          <w:bCs/>
        </w:rPr>
        <w:t>记录并分析师幼互动情况。</w:t>
      </w:r>
    </w:p>
    <w:p>
      <w:pPr>
        <w:spacing w:line="360" w:lineRule="auto"/>
        <w:ind w:firstLine="210" w:firstLineChars="100"/>
      </w:pPr>
      <w:r>
        <w:rPr>
          <w:rFonts w:hint="eastAsia"/>
        </w:rPr>
        <w:t>（</w:t>
      </w:r>
      <w:r>
        <w:rPr>
          <w:rFonts w:hint="eastAsia"/>
          <w:lang w:val="en-US" w:eastAsia="zh-CN"/>
        </w:rPr>
        <w:t>二</w:t>
      </w:r>
      <w:r>
        <w:rPr>
          <w:rFonts w:hint="eastAsia"/>
        </w:rPr>
        <w:t>）</w:t>
      </w:r>
      <w:r>
        <w:t>幼儿教师行为观察的指导</w:t>
      </w:r>
    </w:p>
    <w:p>
      <w:pPr>
        <w:spacing w:line="360" w:lineRule="auto"/>
        <w:ind w:firstLine="630" w:firstLineChars="300"/>
        <w:rPr>
          <w:bCs/>
        </w:rPr>
      </w:pPr>
      <w:r>
        <w:rPr>
          <w:rFonts w:hint="eastAsia"/>
          <w:bCs/>
        </w:rPr>
        <w:t>理解：幼儿教师行为指导的要点。</w:t>
      </w:r>
    </w:p>
    <w:p>
      <w:pPr>
        <w:spacing w:line="360" w:lineRule="auto"/>
        <w:ind w:firstLine="630" w:firstLineChars="300"/>
        <w:rPr>
          <w:bCs/>
        </w:rPr>
      </w:pPr>
      <w:r>
        <w:rPr>
          <w:rFonts w:hint="eastAsia"/>
          <w:bCs/>
        </w:rPr>
        <w:t>应用：提高幼儿教师指导分析儿童行为的能力的策略。</w:t>
      </w:r>
    </w:p>
    <w:p>
      <w:pPr>
        <w:spacing w:line="360" w:lineRule="auto"/>
        <w:ind w:firstLine="630" w:firstLineChars="300"/>
        <w:rPr>
          <w:rFonts w:hint="eastAsia"/>
          <w:bCs/>
        </w:rPr>
      </w:pPr>
    </w:p>
    <w:p>
      <w:pPr>
        <w:ind w:firstLine="420"/>
        <w:jc w:val="center"/>
        <w:rPr>
          <w:rFonts w:hint="eastAsia"/>
          <w:b/>
          <w:bCs/>
          <w:sz w:val="28"/>
          <w:szCs w:val="28"/>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《学前儿童行为观察与指导》，夏宇虹、胡婷婷主编，湖南师范大学出版社，201</w:t>
      </w:r>
      <w:r>
        <w:rPr>
          <w:rFonts w:ascii="宋体" w:hAnsi="宋体"/>
        </w:rPr>
        <w:t>9</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ascii="宋体" w:hAnsi="宋体"/>
          <w:bCs/>
        </w:rPr>
        <w:t>4</w:t>
      </w:r>
      <w:r>
        <w:rPr>
          <w:rFonts w:hint="eastAsia" w:ascii="宋体" w:hAnsi="宋体"/>
          <w:bCs/>
        </w:rPr>
        <w:t>学分，建议总课时</w:t>
      </w:r>
      <w:r>
        <w:rPr>
          <w:rFonts w:ascii="宋体" w:hAnsi="宋体"/>
          <w:bCs/>
        </w:rPr>
        <w:t>72</w:t>
      </w:r>
      <w:r>
        <w:rPr>
          <w:rFonts w:hint="eastAsia" w:ascii="宋体" w:hAnsi="宋体"/>
          <w:bCs/>
        </w:rPr>
        <w:t xml:space="preserve">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97"/>
        <w:gridCol w:w="3940"/>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39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94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9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第一章</w:t>
            </w:r>
          </w:p>
        </w:tc>
        <w:tc>
          <w:tcPr>
            <w:tcW w:w="39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学前儿童行为观察与指导概述</w:t>
            </w:r>
          </w:p>
        </w:tc>
        <w:tc>
          <w:tcPr>
            <w:tcW w:w="11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9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第二章</w:t>
            </w:r>
          </w:p>
        </w:tc>
        <w:tc>
          <w:tcPr>
            <w:tcW w:w="394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学前儿童生活活动的观察与指导</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9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第三章</w:t>
            </w:r>
          </w:p>
        </w:tc>
        <w:tc>
          <w:tcPr>
            <w:tcW w:w="394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学前儿童游戏活动的观察与指导</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9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第四章</w:t>
            </w:r>
          </w:p>
        </w:tc>
        <w:tc>
          <w:tcPr>
            <w:tcW w:w="394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幼儿园教学活动的观察与指导</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16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9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第五章</w:t>
            </w:r>
          </w:p>
        </w:tc>
        <w:tc>
          <w:tcPr>
            <w:tcW w:w="394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其他形式活动的观察与指导</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97"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第六章</w:t>
            </w:r>
          </w:p>
        </w:tc>
        <w:tc>
          <w:tcPr>
            <w:tcW w:w="3940"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bCs/>
                <w:color w:val="000000"/>
              </w:rPr>
            </w:pPr>
            <w:r>
              <w:rPr>
                <w:rFonts w:hint="eastAsia" w:ascii="宋体" w:hAnsi="宋体"/>
                <w:bCs/>
                <w:color w:val="000000"/>
              </w:rPr>
              <w:t>幼儿教师行为的观察与指导</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337"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14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2</w:t>
      </w:r>
      <w:r>
        <w:rPr>
          <w:rFonts w:hint="eastAsia" w:hAnsi="宋体"/>
          <w:bCs/>
        </w:rPr>
        <w:t>0%，理解占</w:t>
      </w:r>
      <w:r>
        <w:rPr>
          <w:rFonts w:hAnsi="宋体"/>
          <w:bCs/>
        </w:rPr>
        <w:t>5</w:t>
      </w:r>
      <w:r>
        <w:rPr>
          <w:rFonts w:hint="eastAsia" w:hAnsi="宋体"/>
          <w:bCs/>
        </w:rPr>
        <w:t>0%，应用占</w:t>
      </w:r>
      <w:r>
        <w:rPr>
          <w:rFonts w:hAnsi="宋体"/>
          <w:bCs/>
        </w:rPr>
        <w:t>3</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幼儿园教学活动的特点包括______以及教学过程的动态性。</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学前儿童行为观察</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详细完整地记录观察对象在一段时间内的所有表现和活动的观察方法是：</w:t>
      </w:r>
    </w:p>
    <w:p>
      <w:pPr>
        <w:spacing w:line="360" w:lineRule="auto"/>
        <w:ind w:firstLine="420" w:firstLineChars="200"/>
        <w:rPr>
          <w:rFonts w:ascii="宋体" w:hAnsi="宋体"/>
        </w:rPr>
      </w:pPr>
      <w:r>
        <w:rPr>
          <w:rFonts w:hint="eastAsia" w:ascii="宋体" w:hAnsi="宋体"/>
        </w:rPr>
        <w:t xml:space="preserve">   A．实况详录法    B．社交图形法    C．事件取样法    D．等级评定法</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解释分析学前儿童的进餐活动时，要考虑：</w:t>
      </w:r>
    </w:p>
    <w:p>
      <w:pPr>
        <w:spacing w:line="360" w:lineRule="auto"/>
        <w:ind w:left="420" w:leftChars="200"/>
        <w:rPr>
          <w:rFonts w:ascii="宋体" w:hAnsi="宋体"/>
        </w:rPr>
      </w:pPr>
      <w:r>
        <w:rPr>
          <w:rFonts w:hint="eastAsia" w:ascii="宋体" w:hAnsi="宋体"/>
        </w:rPr>
        <w:t>A．进餐环境是否适合幼儿    B．食物是否适合幼儿    C．幼儿是否存在特殊情况    D．幼儿的家庭饮食习惯</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幼儿园亲子活动的观察要点有哪些?</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论述如何指导幼儿的区域游戏活动？</w:t>
      </w:r>
    </w:p>
    <w:p/>
    <w:sectPr>
      <w:pgSz w:w="11906" w:h="16838"/>
      <w:pgMar w:top="1644" w:right="1531" w:bottom="130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E6"/>
    <w:rsid w:val="00004100"/>
    <w:rsid w:val="00007B20"/>
    <w:rsid w:val="00024FA1"/>
    <w:rsid w:val="000906B7"/>
    <w:rsid w:val="00122305"/>
    <w:rsid w:val="001629C4"/>
    <w:rsid w:val="001640F6"/>
    <w:rsid w:val="00194A1A"/>
    <w:rsid w:val="001D4F9F"/>
    <w:rsid w:val="002460D9"/>
    <w:rsid w:val="00252F42"/>
    <w:rsid w:val="0026362A"/>
    <w:rsid w:val="002C5CB9"/>
    <w:rsid w:val="002D3C84"/>
    <w:rsid w:val="003143E8"/>
    <w:rsid w:val="0034417A"/>
    <w:rsid w:val="003A5878"/>
    <w:rsid w:val="003E1029"/>
    <w:rsid w:val="003E22E6"/>
    <w:rsid w:val="00415090"/>
    <w:rsid w:val="004A3DEB"/>
    <w:rsid w:val="00590EA8"/>
    <w:rsid w:val="005B1E86"/>
    <w:rsid w:val="00601516"/>
    <w:rsid w:val="006063F7"/>
    <w:rsid w:val="00637269"/>
    <w:rsid w:val="00661D1C"/>
    <w:rsid w:val="00662A74"/>
    <w:rsid w:val="006B44FE"/>
    <w:rsid w:val="006C3724"/>
    <w:rsid w:val="00842C9E"/>
    <w:rsid w:val="00870476"/>
    <w:rsid w:val="00873571"/>
    <w:rsid w:val="00884C09"/>
    <w:rsid w:val="0089540A"/>
    <w:rsid w:val="008E5876"/>
    <w:rsid w:val="0090753C"/>
    <w:rsid w:val="00924B09"/>
    <w:rsid w:val="0093722E"/>
    <w:rsid w:val="00944CEA"/>
    <w:rsid w:val="009457E6"/>
    <w:rsid w:val="00946E3D"/>
    <w:rsid w:val="00AD7088"/>
    <w:rsid w:val="00B0653F"/>
    <w:rsid w:val="00BD1677"/>
    <w:rsid w:val="00C025BC"/>
    <w:rsid w:val="00C6115E"/>
    <w:rsid w:val="00C9352D"/>
    <w:rsid w:val="00CA1C5B"/>
    <w:rsid w:val="00CE785E"/>
    <w:rsid w:val="00D42BD0"/>
    <w:rsid w:val="00D762BE"/>
    <w:rsid w:val="00DF648C"/>
    <w:rsid w:val="00E02F68"/>
    <w:rsid w:val="00E3402C"/>
    <w:rsid w:val="00E82C51"/>
    <w:rsid w:val="00EF3102"/>
    <w:rsid w:val="00F157E1"/>
    <w:rsid w:val="025D1A48"/>
    <w:rsid w:val="0E5B4877"/>
    <w:rsid w:val="10E64FC0"/>
    <w:rsid w:val="14BC2917"/>
    <w:rsid w:val="43276E45"/>
    <w:rsid w:val="451D0901"/>
    <w:rsid w:val="4BDD6F45"/>
    <w:rsid w:val="4C2B6483"/>
    <w:rsid w:val="66FF73EE"/>
    <w:rsid w:val="746B0E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Indent"/>
    <w:basedOn w:val="1"/>
    <w:link w:val="11"/>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2"/>
    <w:qFormat/>
    <w:uiPriority w:val="0"/>
    <w:rPr>
      <w:rFonts w:ascii="宋体" w:hAnsi="Courier New"/>
      <w:szCs w:val="20"/>
    </w:rPr>
  </w:style>
  <w:style w:type="paragraph" w:styleId="5">
    <w:name w:val="footer"/>
    <w:basedOn w:val="1"/>
    <w:link w:val="13"/>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7">
    <w:name w:val="Body Text Indent 3"/>
    <w:basedOn w:val="1"/>
    <w:link w:val="15"/>
    <w:qFormat/>
    <w:uiPriority w:val="0"/>
    <w:pPr>
      <w:ind w:left="900" w:hanging="690"/>
    </w:pPr>
    <w:rPr>
      <w:rFonts w:eastAsia="楷体_GB2312"/>
      <w:b/>
      <w:szCs w:val="20"/>
    </w:rPr>
  </w:style>
  <w:style w:type="character" w:styleId="10">
    <w:name w:val="annotation reference"/>
    <w:basedOn w:val="9"/>
    <w:unhideWhenUsed/>
    <w:qFormat/>
    <w:uiPriority w:val="99"/>
    <w:rPr>
      <w:sz w:val="21"/>
      <w:szCs w:val="21"/>
    </w:rPr>
  </w:style>
  <w:style w:type="character" w:customStyle="1" w:styleId="11">
    <w:name w:val="正文文本缩进 字符"/>
    <w:basedOn w:val="9"/>
    <w:link w:val="3"/>
    <w:qFormat/>
    <w:uiPriority w:val="0"/>
    <w:rPr>
      <w:rFonts w:ascii="黑体" w:hAnsi="Times New Roman" w:eastAsia="楷体_GB2312" w:cs="Times New Roman"/>
      <w:kern w:val="0"/>
      <w:sz w:val="28"/>
      <w:szCs w:val="20"/>
    </w:rPr>
  </w:style>
  <w:style w:type="character" w:customStyle="1" w:styleId="12">
    <w:name w:val="纯文本 字符"/>
    <w:basedOn w:val="9"/>
    <w:link w:val="4"/>
    <w:qFormat/>
    <w:uiPriority w:val="0"/>
    <w:rPr>
      <w:rFonts w:ascii="宋体" w:hAnsi="Courier New" w:eastAsia="宋体" w:cs="Times New Roman"/>
      <w:szCs w:val="20"/>
    </w:rPr>
  </w:style>
  <w:style w:type="character" w:customStyle="1" w:styleId="13">
    <w:name w:val="页脚 字符"/>
    <w:basedOn w:val="9"/>
    <w:link w:val="5"/>
    <w:qFormat/>
    <w:uiPriority w:val="99"/>
    <w:rPr>
      <w:sz w:val="18"/>
      <w:szCs w:val="18"/>
    </w:rPr>
  </w:style>
  <w:style w:type="character" w:customStyle="1" w:styleId="14">
    <w:name w:val="页眉 字符"/>
    <w:basedOn w:val="9"/>
    <w:link w:val="6"/>
    <w:qFormat/>
    <w:uiPriority w:val="99"/>
    <w:rPr>
      <w:sz w:val="18"/>
      <w:szCs w:val="18"/>
    </w:rPr>
  </w:style>
  <w:style w:type="character" w:customStyle="1" w:styleId="15">
    <w:name w:val="正文文本缩进 3 字符"/>
    <w:basedOn w:val="9"/>
    <w:link w:val="7"/>
    <w:qFormat/>
    <w:uiPriority w:val="0"/>
    <w:rPr>
      <w:rFonts w:ascii="Times New Roman" w:hAnsi="Times New Roman" w:eastAsia="楷体_GB2312" w:cs="Times New Roman"/>
      <w:b/>
      <w:szCs w:val="20"/>
    </w:rPr>
  </w:style>
  <w:style w:type="paragraph" w:customStyle="1" w:styleId="16">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632</Words>
  <Characters>3605</Characters>
  <Lines>30</Lines>
  <Paragraphs>8</Paragraphs>
  <TotalTime>30</TotalTime>
  <ScaleCrop>false</ScaleCrop>
  <LinksUpToDate>false</LinksUpToDate>
  <CharactersWithSpaces>4229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2024-05-14T02:55:00Z</dcterms:created>
  <dc:creator>user</dc:creator>
  <cp:lastModifiedBy>郑永旺</cp:lastModifiedBy>
  <dcterms:modified xsi:type="dcterms:W3CDTF">2024-07-11T08:41:03Z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DBC2484038B946FC97871858787C03FD</vt:lpwstr>
  </property>
</Properties>
</file>